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D6330" w14:textId="77777777" w:rsidR="00EF68DD" w:rsidRDefault="00E366FF">
      <w:r w:rsidRPr="00151C12">
        <w:rPr>
          <w:noProof/>
        </w:rPr>
        <w:drawing>
          <wp:anchor distT="0" distB="0" distL="114300" distR="114300" simplePos="0" relativeHeight="251661312" behindDoc="1" locked="0" layoutInCell="1" allowOverlap="1" wp14:anchorId="0389B051" wp14:editId="543DC733">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7D42E02E" w14:textId="77777777" w:rsidR="00EF68DD" w:rsidRPr="00EF68DD" w:rsidRDefault="00EF68DD" w:rsidP="00EF68DD"/>
    <w:p w14:paraId="099F4A50" w14:textId="77777777" w:rsidR="00EF68DD" w:rsidRPr="00EF68DD" w:rsidRDefault="00EF68DD" w:rsidP="00EF68DD"/>
    <w:p w14:paraId="3EF28D72" w14:textId="77777777" w:rsidR="00EF68DD" w:rsidRPr="00EF68DD" w:rsidRDefault="00EF68DD" w:rsidP="00EF68DD"/>
    <w:p w14:paraId="7A291298" w14:textId="77777777"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610FDD12" wp14:editId="38A0EACF">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5FAE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14BB5CAA" w14:textId="77777777" w:rsidR="00EF68DD" w:rsidRDefault="00EF68DD" w:rsidP="00EF68DD"/>
    <w:p w14:paraId="72DE9A94" w14:textId="4D31B8E1" w:rsidR="00EF68DD" w:rsidRPr="00764960" w:rsidRDefault="007B70D0" w:rsidP="00EF68DD">
      <w:pPr>
        <w:pStyle w:val="SpecificsDate"/>
        <w:spacing w:before="0" w:after="0"/>
        <w:ind w:right="684"/>
        <w:rPr>
          <w:color w:val="auto"/>
        </w:rPr>
      </w:pPr>
      <w:r>
        <w:rPr>
          <w:color w:val="auto"/>
        </w:rPr>
        <w:t>03</w:t>
      </w:r>
      <w:r w:rsidR="00EF68DD" w:rsidRPr="00764960">
        <w:rPr>
          <w:color w:val="auto"/>
        </w:rPr>
        <w:t xml:space="preserve"> | </w:t>
      </w:r>
      <w:r>
        <w:rPr>
          <w:color w:val="auto"/>
        </w:rPr>
        <w:t>31</w:t>
      </w:r>
      <w:r w:rsidR="00EF68DD" w:rsidRPr="00764960">
        <w:rPr>
          <w:color w:val="auto"/>
        </w:rPr>
        <w:t xml:space="preserve"> | </w:t>
      </w:r>
      <w:r w:rsidR="004B23FA">
        <w:rPr>
          <w:color w:val="auto"/>
        </w:rPr>
        <w:t>20</w:t>
      </w:r>
    </w:p>
    <w:p w14:paraId="60DD2224" w14:textId="77777777" w:rsidR="004B23FA" w:rsidRDefault="004B23FA" w:rsidP="004B23FA"/>
    <w:p w14:paraId="1F7994C6" w14:textId="77777777" w:rsidR="007B70D0" w:rsidRDefault="007B70D0" w:rsidP="007B70D0">
      <w:pPr>
        <w:rPr>
          <w:b/>
          <w:bCs/>
          <w:sz w:val="27"/>
          <w:szCs w:val="27"/>
          <w:lang w:val="en"/>
        </w:rPr>
      </w:pPr>
      <w:bookmarkStart w:id="0" w:name="_GoBack"/>
      <w:r>
        <w:rPr>
          <w:b/>
          <w:bCs/>
          <w:sz w:val="27"/>
          <w:szCs w:val="27"/>
          <w:lang w:val="en"/>
        </w:rPr>
        <w:t>IRS: Employee Retention Credit available for many businesses financially impacted by COVID-19</w:t>
      </w:r>
    </w:p>
    <w:bookmarkEnd w:id="0"/>
    <w:p w14:paraId="164D20DC" w14:textId="77777777" w:rsidR="007B70D0" w:rsidRDefault="007B70D0" w:rsidP="007B70D0">
      <w:pPr>
        <w:rPr>
          <w:rFonts w:ascii="Calibri" w:hAnsi="Calibri" w:cs="Calibri"/>
          <w:b/>
          <w:bCs/>
          <w:sz w:val="27"/>
          <w:szCs w:val="27"/>
          <w:lang w:val="en"/>
        </w:rPr>
      </w:pPr>
    </w:p>
    <w:p w14:paraId="27F262DA" w14:textId="21A3ABFD" w:rsidR="007B70D0" w:rsidRPr="007B70D0" w:rsidRDefault="007B70D0" w:rsidP="007B70D0">
      <w:pPr>
        <w:rPr>
          <w:sz w:val="22"/>
        </w:rPr>
      </w:pPr>
      <w:r w:rsidRPr="007B70D0">
        <w:rPr>
          <w:sz w:val="22"/>
        </w:rPr>
        <w:t>IR-2020-</w:t>
      </w:r>
      <w:r w:rsidR="00EC7391">
        <w:rPr>
          <w:sz w:val="22"/>
        </w:rPr>
        <w:t>62</w:t>
      </w:r>
    </w:p>
    <w:p w14:paraId="18C71140" w14:textId="77777777" w:rsidR="007B70D0" w:rsidRPr="007B70D0" w:rsidRDefault="007B70D0" w:rsidP="007B70D0">
      <w:pPr>
        <w:shd w:val="clear" w:color="auto" w:fill="FFFFFF"/>
        <w:rPr>
          <w:color w:val="000000"/>
          <w:sz w:val="22"/>
        </w:rPr>
      </w:pPr>
    </w:p>
    <w:p w14:paraId="27ED85BD" w14:textId="0D8091B5" w:rsidR="007B70D0" w:rsidRPr="007B70D0" w:rsidRDefault="007B70D0" w:rsidP="007B70D0">
      <w:pPr>
        <w:pStyle w:val="263A"/>
        <w:rPr>
          <w:sz w:val="22"/>
          <w:szCs w:val="22"/>
        </w:rPr>
      </w:pPr>
      <w:r w:rsidRPr="007B70D0">
        <w:rPr>
          <w:sz w:val="22"/>
          <w:szCs w:val="22"/>
        </w:rPr>
        <w:t>WASHINGTON —</w:t>
      </w:r>
      <w:r>
        <w:rPr>
          <w:sz w:val="22"/>
          <w:szCs w:val="22"/>
        </w:rPr>
        <w:t xml:space="preserve"> </w:t>
      </w:r>
      <w:r w:rsidRPr="007B70D0">
        <w:rPr>
          <w:sz w:val="22"/>
          <w:szCs w:val="22"/>
        </w:rPr>
        <w:t>The Treasury Department and the Internal Revenue Service today launched the Employee Retention Credit, designed to encourage businesses to keep employees on their payroll. The refundable tax credit is 50</w:t>
      </w:r>
      <w:r>
        <w:rPr>
          <w:sz w:val="22"/>
          <w:szCs w:val="22"/>
        </w:rPr>
        <w:t>%</w:t>
      </w:r>
      <w:r w:rsidRPr="007B70D0">
        <w:rPr>
          <w:sz w:val="22"/>
          <w:szCs w:val="22"/>
        </w:rPr>
        <w:t xml:space="preserve"> of up to $10,000 in wages paid by an eligible employer whose business has been financially impacted by COVID-19. </w:t>
      </w:r>
    </w:p>
    <w:p w14:paraId="5E30740F" w14:textId="77777777" w:rsidR="007B70D0" w:rsidRPr="007B70D0" w:rsidRDefault="007B70D0" w:rsidP="007B70D0">
      <w:pPr>
        <w:pStyle w:val="263A"/>
        <w:rPr>
          <w:b/>
          <w:bCs/>
          <w:sz w:val="22"/>
          <w:szCs w:val="22"/>
        </w:rPr>
      </w:pPr>
    </w:p>
    <w:p w14:paraId="03E13979" w14:textId="77777777" w:rsidR="007B70D0" w:rsidRPr="007B70D0" w:rsidRDefault="007B70D0" w:rsidP="007B70D0">
      <w:pPr>
        <w:pStyle w:val="263A"/>
        <w:rPr>
          <w:b/>
          <w:bCs/>
          <w:sz w:val="22"/>
          <w:szCs w:val="22"/>
        </w:rPr>
      </w:pPr>
      <w:r w:rsidRPr="007B70D0">
        <w:rPr>
          <w:b/>
          <w:bCs/>
          <w:sz w:val="22"/>
          <w:szCs w:val="22"/>
        </w:rPr>
        <w:t>Does my business qualify to receive the Employee Retention Credit?</w:t>
      </w:r>
    </w:p>
    <w:p w14:paraId="72667826" w14:textId="77777777" w:rsidR="007B70D0" w:rsidRPr="007B70D0" w:rsidRDefault="007B70D0" w:rsidP="007B70D0">
      <w:pPr>
        <w:pStyle w:val="263A"/>
        <w:rPr>
          <w:b/>
          <w:bCs/>
          <w:sz w:val="22"/>
          <w:szCs w:val="22"/>
        </w:rPr>
      </w:pPr>
    </w:p>
    <w:p w14:paraId="601C358D" w14:textId="0BB6AAFE" w:rsidR="007B70D0" w:rsidRPr="007B70D0" w:rsidRDefault="007B70D0" w:rsidP="007B70D0">
      <w:pPr>
        <w:pStyle w:val="263A"/>
        <w:rPr>
          <w:b/>
          <w:bCs/>
          <w:sz w:val="22"/>
          <w:szCs w:val="22"/>
        </w:rPr>
      </w:pPr>
      <w:r w:rsidRPr="007B70D0">
        <w:rPr>
          <w:sz w:val="22"/>
          <w:szCs w:val="22"/>
        </w:rPr>
        <w:t xml:space="preserve">The credit is available to all </w:t>
      </w:r>
      <w:r w:rsidRPr="00BB0EAE">
        <w:rPr>
          <w:sz w:val="22"/>
          <w:szCs w:val="22"/>
        </w:rPr>
        <w:t>employers regardless of size</w:t>
      </w:r>
      <w:r w:rsidRPr="007B70D0">
        <w:rPr>
          <w:sz w:val="22"/>
          <w:szCs w:val="22"/>
          <w:u w:val="single"/>
        </w:rPr>
        <w:t>,</w:t>
      </w:r>
      <w:r w:rsidRPr="007B70D0">
        <w:rPr>
          <w:sz w:val="22"/>
          <w:szCs w:val="22"/>
        </w:rPr>
        <w:t xml:space="preserve"> including tax-exempt organizations. There are only two exceptions: State and local governments and their instrumentalities and small businesses who take </w:t>
      </w:r>
      <w:r>
        <w:rPr>
          <w:sz w:val="22"/>
          <w:szCs w:val="22"/>
        </w:rPr>
        <w:t>s</w:t>
      </w:r>
      <w:r w:rsidRPr="007B70D0">
        <w:rPr>
          <w:sz w:val="22"/>
          <w:szCs w:val="22"/>
        </w:rPr>
        <w:t xml:space="preserve">mall </w:t>
      </w:r>
      <w:r>
        <w:rPr>
          <w:sz w:val="22"/>
          <w:szCs w:val="22"/>
        </w:rPr>
        <w:t>b</w:t>
      </w:r>
      <w:r w:rsidRPr="007B70D0">
        <w:rPr>
          <w:sz w:val="22"/>
          <w:szCs w:val="22"/>
        </w:rPr>
        <w:t xml:space="preserve">usiness </w:t>
      </w:r>
      <w:r>
        <w:rPr>
          <w:sz w:val="22"/>
          <w:szCs w:val="22"/>
        </w:rPr>
        <w:t>l</w:t>
      </w:r>
      <w:r w:rsidRPr="007B70D0">
        <w:rPr>
          <w:sz w:val="22"/>
          <w:szCs w:val="22"/>
        </w:rPr>
        <w:t>oans.</w:t>
      </w:r>
    </w:p>
    <w:p w14:paraId="353F43DB" w14:textId="77777777" w:rsidR="007B70D0" w:rsidRPr="007B70D0" w:rsidRDefault="007B70D0" w:rsidP="007B70D0">
      <w:pPr>
        <w:pStyle w:val="263A"/>
        <w:rPr>
          <w:sz w:val="22"/>
          <w:szCs w:val="22"/>
        </w:rPr>
      </w:pPr>
    </w:p>
    <w:p w14:paraId="571AF609" w14:textId="77777777" w:rsidR="007B70D0" w:rsidRPr="007B70D0" w:rsidRDefault="007B70D0" w:rsidP="007B70D0">
      <w:pPr>
        <w:pStyle w:val="263A"/>
        <w:rPr>
          <w:sz w:val="22"/>
          <w:szCs w:val="22"/>
        </w:rPr>
      </w:pPr>
      <w:r w:rsidRPr="007B70D0">
        <w:rPr>
          <w:sz w:val="22"/>
          <w:szCs w:val="22"/>
        </w:rPr>
        <w:t xml:space="preserve">Qualifying employers must fall into one of two categories: </w:t>
      </w:r>
    </w:p>
    <w:p w14:paraId="405D8A11" w14:textId="77777777" w:rsidR="007B70D0" w:rsidRPr="007B70D0" w:rsidRDefault="007B70D0" w:rsidP="007B70D0">
      <w:pPr>
        <w:pStyle w:val="263A"/>
        <w:rPr>
          <w:sz w:val="22"/>
          <w:szCs w:val="22"/>
        </w:rPr>
      </w:pPr>
    </w:p>
    <w:p w14:paraId="5F867D00" w14:textId="5F9F4EF8" w:rsidR="007B70D0" w:rsidRPr="007B70D0" w:rsidRDefault="007B70D0" w:rsidP="007B70D0">
      <w:pPr>
        <w:numPr>
          <w:ilvl w:val="0"/>
          <w:numId w:val="3"/>
        </w:numPr>
        <w:spacing w:after="160" w:line="252" w:lineRule="auto"/>
        <w:contextualSpacing/>
        <w:rPr>
          <w:rFonts w:eastAsia="Times New Roman"/>
          <w:sz w:val="22"/>
        </w:rPr>
      </w:pPr>
      <w:r w:rsidRPr="007B70D0">
        <w:rPr>
          <w:rFonts w:eastAsia="Times New Roman"/>
          <w:sz w:val="22"/>
        </w:rPr>
        <w:t>The employer’s business is fully or partially suspended by government order due to COVID-19 during the calendar quarter</w:t>
      </w:r>
      <w:r>
        <w:rPr>
          <w:rFonts w:eastAsia="Times New Roman"/>
          <w:sz w:val="22"/>
        </w:rPr>
        <w:t>.</w:t>
      </w:r>
    </w:p>
    <w:p w14:paraId="45764623" w14:textId="6261DE70" w:rsidR="007B70D0" w:rsidRPr="007B70D0" w:rsidRDefault="007B70D0" w:rsidP="007B70D0">
      <w:pPr>
        <w:numPr>
          <w:ilvl w:val="0"/>
          <w:numId w:val="3"/>
        </w:numPr>
        <w:spacing w:after="160" w:line="252" w:lineRule="auto"/>
        <w:rPr>
          <w:rFonts w:eastAsia="Times New Roman"/>
          <w:sz w:val="22"/>
        </w:rPr>
      </w:pPr>
      <w:r w:rsidRPr="007B70D0">
        <w:rPr>
          <w:rFonts w:eastAsia="Times New Roman"/>
          <w:sz w:val="22"/>
        </w:rPr>
        <w:t>The employer’s gross receipts are below 50% of the comparable quarter in 2019. Once the employer’s gross receipts go above 80</w:t>
      </w:r>
      <w:r>
        <w:rPr>
          <w:rFonts w:eastAsia="Times New Roman"/>
          <w:sz w:val="22"/>
        </w:rPr>
        <w:t>%</w:t>
      </w:r>
      <w:r w:rsidRPr="007B70D0">
        <w:rPr>
          <w:rFonts w:eastAsia="Times New Roman"/>
          <w:sz w:val="22"/>
        </w:rPr>
        <w:t xml:space="preserve"> of a comparable quarter in 2019, they no longer qualify after the end of that quarter. </w:t>
      </w:r>
    </w:p>
    <w:p w14:paraId="656D7E16" w14:textId="77777777" w:rsidR="007B70D0" w:rsidRPr="007B70D0" w:rsidRDefault="007B70D0" w:rsidP="007B70D0">
      <w:pPr>
        <w:spacing w:after="160" w:line="252" w:lineRule="auto"/>
        <w:rPr>
          <w:sz w:val="22"/>
        </w:rPr>
      </w:pPr>
      <w:r w:rsidRPr="007B70D0">
        <w:rPr>
          <w:sz w:val="22"/>
        </w:rPr>
        <w:t xml:space="preserve">These measures are calculated each calendar quarter. </w:t>
      </w:r>
    </w:p>
    <w:p w14:paraId="348AF5DF" w14:textId="77777777" w:rsidR="007B70D0" w:rsidRPr="007B70D0" w:rsidRDefault="007B70D0" w:rsidP="007B70D0">
      <w:pPr>
        <w:spacing w:after="160" w:line="252" w:lineRule="auto"/>
        <w:rPr>
          <w:b/>
          <w:bCs/>
          <w:sz w:val="22"/>
        </w:rPr>
      </w:pPr>
      <w:r w:rsidRPr="007B70D0">
        <w:rPr>
          <w:b/>
          <w:bCs/>
          <w:sz w:val="22"/>
        </w:rPr>
        <w:t>How is the credit calculated?</w:t>
      </w:r>
    </w:p>
    <w:p w14:paraId="52074AB8" w14:textId="209A71C7" w:rsidR="007B70D0" w:rsidRPr="007B70D0" w:rsidRDefault="007B70D0" w:rsidP="007B70D0">
      <w:pPr>
        <w:rPr>
          <w:sz w:val="22"/>
        </w:rPr>
      </w:pPr>
      <w:r w:rsidRPr="007B70D0">
        <w:rPr>
          <w:sz w:val="22"/>
        </w:rPr>
        <w:t>The amount of the credit is 50</w:t>
      </w:r>
      <w:r>
        <w:rPr>
          <w:sz w:val="22"/>
        </w:rPr>
        <w:t>%</w:t>
      </w:r>
      <w:r w:rsidRPr="007B70D0">
        <w:rPr>
          <w:sz w:val="22"/>
        </w:rPr>
        <w:t xml:space="preserve"> of </w:t>
      </w:r>
      <w:r w:rsidRPr="007B70D0">
        <w:rPr>
          <w:i/>
          <w:iCs/>
          <w:sz w:val="22"/>
        </w:rPr>
        <w:t>qualifying wages</w:t>
      </w:r>
      <w:r w:rsidRPr="007B70D0">
        <w:rPr>
          <w:sz w:val="22"/>
        </w:rPr>
        <w:t xml:space="preserve"> paid up to $10,000 in total. Wages paid after March 12, 2020, and before</w:t>
      </w:r>
      <w:r w:rsidR="00BB0EAE">
        <w:rPr>
          <w:sz w:val="22"/>
        </w:rPr>
        <w:t xml:space="preserve"> Jan. </w:t>
      </w:r>
      <w:r w:rsidR="00BB1E0C">
        <w:rPr>
          <w:sz w:val="22"/>
        </w:rPr>
        <w:t>1</w:t>
      </w:r>
      <w:r w:rsidR="00BB0EAE">
        <w:rPr>
          <w:sz w:val="22"/>
        </w:rPr>
        <w:t>, 2021</w:t>
      </w:r>
      <w:r w:rsidRPr="007B70D0">
        <w:rPr>
          <w:sz w:val="22"/>
        </w:rPr>
        <w:t>, are eligible for the credit. Wages taken into account are not limited to cash payments, but also include a portion of the cost of employer provided health care.</w:t>
      </w:r>
    </w:p>
    <w:p w14:paraId="7CCA6575" w14:textId="77777777" w:rsidR="007B70D0" w:rsidRPr="007B70D0" w:rsidRDefault="007B70D0" w:rsidP="007B70D0">
      <w:pPr>
        <w:rPr>
          <w:sz w:val="22"/>
        </w:rPr>
      </w:pPr>
    </w:p>
    <w:p w14:paraId="7BA339ED" w14:textId="77777777" w:rsidR="007B70D0" w:rsidRPr="007B70D0" w:rsidRDefault="007B70D0" w:rsidP="007B70D0">
      <w:pPr>
        <w:rPr>
          <w:b/>
          <w:bCs/>
          <w:sz w:val="22"/>
        </w:rPr>
      </w:pPr>
      <w:r w:rsidRPr="007B70D0">
        <w:rPr>
          <w:b/>
          <w:bCs/>
          <w:sz w:val="22"/>
        </w:rPr>
        <w:t>How do I know which wages qualify?</w:t>
      </w:r>
    </w:p>
    <w:p w14:paraId="3FF24630" w14:textId="77777777" w:rsidR="007B70D0" w:rsidRPr="007B70D0" w:rsidRDefault="007B70D0" w:rsidP="007B70D0">
      <w:pPr>
        <w:rPr>
          <w:sz w:val="22"/>
        </w:rPr>
      </w:pPr>
    </w:p>
    <w:p w14:paraId="4C7B7A7A" w14:textId="77777777" w:rsidR="007B70D0" w:rsidRPr="007B70D0" w:rsidRDefault="007B70D0" w:rsidP="007B70D0">
      <w:pPr>
        <w:rPr>
          <w:sz w:val="22"/>
        </w:rPr>
      </w:pPr>
      <w:r w:rsidRPr="007B70D0">
        <w:rPr>
          <w:sz w:val="22"/>
        </w:rPr>
        <w:t xml:space="preserve">Qualifying wages are based on the average number of a business’s employees in 2019. </w:t>
      </w:r>
    </w:p>
    <w:p w14:paraId="38166865" w14:textId="77777777" w:rsidR="007B70D0" w:rsidRPr="007B70D0" w:rsidRDefault="007B70D0" w:rsidP="007B70D0">
      <w:pPr>
        <w:rPr>
          <w:sz w:val="22"/>
        </w:rPr>
      </w:pPr>
    </w:p>
    <w:p w14:paraId="4EAFCEDF" w14:textId="77777777" w:rsidR="007B70D0" w:rsidRPr="007B70D0" w:rsidRDefault="007B70D0" w:rsidP="007B70D0">
      <w:pPr>
        <w:rPr>
          <w:sz w:val="22"/>
        </w:rPr>
      </w:pPr>
      <w:r w:rsidRPr="007B70D0">
        <w:rPr>
          <w:i/>
          <w:iCs/>
          <w:sz w:val="22"/>
        </w:rPr>
        <w:t>Employers with less than 100 employees:</w:t>
      </w:r>
      <w:r w:rsidRPr="007B70D0">
        <w:rPr>
          <w:sz w:val="22"/>
        </w:rPr>
        <w:t xml:space="preserve"> If the employer had 100 or fewer employees on average in 2019, the credit is based on wages paid to all employees, regardless if they worked or not. If the employees worked full time and were paid for full time work, the employer still receives the credit.</w:t>
      </w:r>
    </w:p>
    <w:p w14:paraId="49A0153B" w14:textId="77777777" w:rsidR="007B70D0" w:rsidRPr="007B70D0" w:rsidRDefault="007B70D0" w:rsidP="007B70D0">
      <w:pPr>
        <w:rPr>
          <w:sz w:val="22"/>
        </w:rPr>
      </w:pPr>
    </w:p>
    <w:p w14:paraId="1D5B5892" w14:textId="77777777" w:rsidR="007B70D0" w:rsidRPr="007B70D0" w:rsidRDefault="007B70D0" w:rsidP="007B70D0">
      <w:pPr>
        <w:rPr>
          <w:sz w:val="22"/>
        </w:rPr>
      </w:pPr>
      <w:r w:rsidRPr="007B70D0">
        <w:rPr>
          <w:i/>
          <w:iCs/>
          <w:sz w:val="22"/>
        </w:rPr>
        <w:t>Employers with more than 100 employees:</w:t>
      </w:r>
      <w:r w:rsidRPr="007B70D0">
        <w:rPr>
          <w:sz w:val="22"/>
        </w:rPr>
        <w:t xml:space="preserve">  If the employer had more than 100 employees on average in 2019, then the credit is allowed only for wages paid to </w:t>
      </w:r>
      <w:r w:rsidRPr="00BB0EAE">
        <w:rPr>
          <w:sz w:val="22"/>
        </w:rPr>
        <w:t>employees who did not work</w:t>
      </w:r>
      <w:r w:rsidRPr="007B70D0">
        <w:rPr>
          <w:sz w:val="22"/>
        </w:rPr>
        <w:t xml:space="preserve"> during the calendar quarter.</w:t>
      </w:r>
    </w:p>
    <w:p w14:paraId="54618E3D" w14:textId="77777777" w:rsidR="007B70D0" w:rsidRPr="007B70D0" w:rsidRDefault="007B70D0" w:rsidP="007B70D0">
      <w:pPr>
        <w:spacing w:after="160" w:line="252" w:lineRule="auto"/>
        <w:contextualSpacing/>
        <w:rPr>
          <w:sz w:val="22"/>
        </w:rPr>
      </w:pPr>
    </w:p>
    <w:p w14:paraId="3D9A92A7" w14:textId="77777777" w:rsidR="007B70D0" w:rsidRPr="007B70D0" w:rsidRDefault="007B70D0" w:rsidP="007B70D0">
      <w:pPr>
        <w:pStyle w:val="263A"/>
        <w:rPr>
          <w:b/>
          <w:bCs/>
          <w:sz w:val="22"/>
          <w:szCs w:val="22"/>
        </w:rPr>
      </w:pPr>
      <w:r w:rsidRPr="007B70D0">
        <w:rPr>
          <w:b/>
          <w:bCs/>
          <w:sz w:val="22"/>
          <w:szCs w:val="22"/>
        </w:rPr>
        <w:lastRenderedPageBreak/>
        <w:t>I am an eligible employer. How do I receive my credit?</w:t>
      </w:r>
    </w:p>
    <w:p w14:paraId="6DF8D7FF" w14:textId="77777777" w:rsidR="007B70D0" w:rsidRPr="007B70D0" w:rsidRDefault="007B70D0" w:rsidP="007B70D0">
      <w:pPr>
        <w:pStyle w:val="263A"/>
        <w:rPr>
          <w:sz w:val="22"/>
          <w:szCs w:val="22"/>
        </w:rPr>
      </w:pPr>
    </w:p>
    <w:p w14:paraId="7E834ED7" w14:textId="2D85AD85" w:rsidR="007B70D0" w:rsidRPr="007B70D0" w:rsidRDefault="007B70D0" w:rsidP="007B70D0">
      <w:pPr>
        <w:spacing w:after="160" w:line="252" w:lineRule="auto"/>
        <w:rPr>
          <w:sz w:val="22"/>
        </w:rPr>
      </w:pPr>
      <w:r w:rsidRPr="007B70D0">
        <w:rPr>
          <w:sz w:val="22"/>
        </w:rPr>
        <w:t xml:space="preserve">Employers can be immediately reimbursed for the credit by reducing their required deposits of payroll taxes that have been withheld from employees’ wages by the amount of the credit. </w:t>
      </w:r>
    </w:p>
    <w:p w14:paraId="0E747C07" w14:textId="68A1D6EF" w:rsidR="007B70D0" w:rsidRPr="007B70D0" w:rsidRDefault="007B70D0" w:rsidP="007B70D0">
      <w:pPr>
        <w:spacing w:after="160" w:line="252" w:lineRule="auto"/>
        <w:rPr>
          <w:sz w:val="22"/>
          <w:highlight w:val="yellow"/>
        </w:rPr>
      </w:pPr>
      <w:r w:rsidRPr="007B70D0">
        <w:rPr>
          <w:sz w:val="22"/>
        </w:rPr>
        <w:t xml:space="preserve">Eligible employers will report their total qualified wages and the related health insurance costs for each quarter on their quarterly employment tax returns or Form 941 beginning with the second quarter. If the employer’s employment tax deposits </w:t>
      </w:r>
      <w:r w:rsidRPr="00EC7391">
        <w:rPr>
          <w:sz w:val="22"/>
        </w:rPr>
        <w:t xml:space="preserve">are not sufficient to cover the credit, the employer may receive an advance payment from the IRS by submitting </w:t>
      </w:r>
      <w:hyperlink r:id="rId6" w:history="1">
        <w:r w:rsidRPr="00EC7391">
          <w:rPr>
            <w:rStyle w:val="Hyperlink"/>
            <w:sz w:val="22"/>
          </w:rPr>
          <w:t>Form 7200</w:t>
        </w:r>
      </w:hyperlink>
      <w:r w:rsidRPr="00EC7391">
        <w:rPr>
          <w:sz w:val="22"/>
        </w:rPr>
        <w:t xml:space="preserve">, Advance </w:t>
      </w:r>
      <w:r w:rsidR="008E5119" w:rsidRPr="00EC7391">
        <w:rPr>
          <w:sz w:val="22"/>
        </w:rPr>
        <w:t xml:space="preserve">Payment </w:t>
      </w:r>
      <w:r w:rsidRPr="00EC7391">
        <w:rPr>
          <w:sz w:val="22"/>
        </w:rPr>
        <w:t xml:space="preserve">of Employer Credits Due to COVID-19. </w:t>
      </w:r>
    </w:p>
    <w:p w14:paraId="25C6DE01" w14:textId="77777777" w:rsidR="007B70D0" w:rsidRPr="007B70D0" w:rsidRDefault="007B70D0" w:rsidP="007B70D0">
      <w:pPr>
        <w:spacing w:after="160" w:line="252" w:lineRule="auto"/>
        <w:rPr>
          <w:sz w:val="22"/>
        </w:rPr>
      </w:pPr>
      <w:r w:rsidRPr="007B70D0">
        <w:rPr>
          <w:sz w:val="22"/>
        </w:rPr>
        <w:t xml:space="preserve">Eligible employers can also request an advance of the Employee Retention Credit by submitting Form 7200. </w:t>
      </w:r>
    </w:p>
    <w:p w14:paraId="593F8E73" w14:textId="77777777" w:rsidR="007B70D0" w:rsidRPr="007B70D0" w:rsidRDefault="007B70D0" w:rsidP="007B70D0">
      <w:pPr>
        <w:spacing w:after="160" w:line="252" w:lineRule="auto"/>
        <w:rPr>
          <w:b/>
          <w:bCs/>
          <w:sz w:val="22"/>
        </w:rPr>
      </w:pPr>
      <w:r w:rsidRPr="007B70D0">
        <w:rPr>
          <w:b/>
          <w:bCs/>
          <w:sz w:val="22"/>
        </w:rPr>
        <w:t xml:space="preserve">Where can I find more information on the Employer Retention Credit and other COVID-19 economic relief efforts? </w:t>
      </w:r>
    </w:p>
    <w:p w14:paraId="7648B38E" w14:textId="25CD7634" w:rsidR="007B70D0" w:rsidRPr="007B70D0" w:rsidRDefault="007B70D0" w:rsidP="00454A8F">
      <w:pPr>
        <w:rPr>
          <w:color w:val="000000"/>
          <w:sz w:val="22"/>
        </w:rPr>
      </w:pPr>
      <w:r w:rsidRPr="00454A8F">
        <w:rPr>
          <w:sz w:val="22"/>
        </w:rPr>
        <w:t xml:space="preserve">Updates on the </w:t>
      </w:r>
      <w:r w:rsidRPr="00C30D4A">
        <w:rPr>
          <w:sz w:val="22"/>
        </w:rPr>
        <w:t xml:space="preserve">implementation of this </w:t>
      </w:r>
      <w:hyperlink r:id="rId7" w:history="1">
        <w:r w:rsidRPr="00C30D4A">
          <w:rPr>
            <w:rStyle w:val="Hyperlink"/>
            <w:sz w:val="22"/>
          </w:rPr>
          <w:t>credit</w:t>
        </w:r>
      </w:hyperlink>
      <w:r w:rsidR="00454A8F" w:rsidRPr="00C30D4A">
        <w:rPr>
          <w:sz w:val="22"/>
        </w:rPr>
        <w:t xml:space="preserve">, </w:t>
      </w:r>
      <w:r w:rsidRPr="00C30D4A">
        <w:rPr>
          <w:sz w:val="22"/>
        </w:rPr>
        <w:t xml:space="preserve"> Frequently</w:t>
      </w:r>
      <w:r w:rsidRPr="00454A8F">
        <w:rPr>
          <w:sz w:val="22"/>
        </w:rPr>
        <w:t xml:space="preserve"> Asked Questions </w:t>
      </w:r>
      <w:r w:rsidR="00454A8F" w:rsidRPr="00454A8F">
        <w:rPr>
          <w:sz w:val="22"/>
        </w:rPr>
        <w:t xml:space="preserve">on </w:t>
      </w:r>
      <w:hyperlink r:id="rId8" w:history="1">
        <w:r w:rsidR="00454A8F" w:rsidRPr="00C30D4A">
          <w:rPr>
            <w:rStyle w:val="Hyperlink"/>
            <w:sz w:val="22"/>
          </w:rPr>
          <w:t>Tax Credits for Required Paid Leave</w:t>
        </w:r>
      </w:hyperlink>
      <w:r w:rsidRPr="00454A8F">
        <w:rPr>
          <w:sz w:val="22"/>
        </w:rPr>
        <w:t xml:space="preserve"> and other information can be found on the </w:t>
      </w:r>
      <w:hyperlink r:id="rId9" w:history="1">
        <w:r w:rsidRPr="007B70D0">
          <w:rPr>
            <w:rStyle w:val="Hyperlink"/>
            <w:sz w:val="22"/>
          </w:rPr>
          <w:t>Coronavirus page</w:t>
        </w:r>
      </w:hyperlink>
      <w:r w:rsidRPr="007B70D0">
        <w:rPr>
          <w:color w:val="000000"/>
          <w:sz w:val="22"/>
        </w:rPr>
        <w:t xml:space="preserve"> of IRS.gov.</w:t>
      </w:r>
    </w:p>
    <w:p w14:paraId="5E1D505C" w14:textId="77777777" w:rsidR="007B70D0" w:rsidRPr="007B70D0" w:rsidRDefault="007B70D0" w:rsidP="007B70D0">
      <w:pPr>
        <w:rPr>
          <w:sz w:val="22"/>
        </w:rPr>
      </w:pPr>
    </w:p>
    <w:p w14:paraId="25A0CA57" w14:textId="77777777" w:rsidR="007B70D0" w:rsidRPr="007B70D0" w:rsidRDefault="007B70D0" w:rsidP="007B70D0">
      <w:pPr>
        <w:rPr>
          <w:sz w:val="22"/>
        </w:rPr>
      </w:pPr>
    </w:p>
    <w:p w14:paraId="3DD11585" w14:textId="77777777" w:rsidR="00195D09" w:rsidRPr="007B70D0" w:rsidRDefault="00195D09" w:rsidP="00195D09">
      <w:pPr>
        <w:rPr>
          <w:sz w:val="22"/>
        </w:rPr>
      </w:pPr>
    </w:p>
    <w:p w14:paraId="1933778B" w14:textId="77777777" w:rsidR="00195D09" w:rsidRPr="007B70D0" w:rsidRDefault="00195D09" w:rsidP="00195D09">
      <w:pPr>
        <w:rPr>
          <w:sz w:val="22"/>
        </w:rPr>
      </w:pPr>
    </w:p>
    <w:p w14:paraId="667DDC5F" w14:textId="77777777" w:rsidR="00CB441E" w:rsidRPr="007B70D0" w:rsidRDefault="00CB441E" w:rsidP="00CB441E">
      <w:pPr>
        <w:jc w:val="center"/>
        <w:rPr>
          <w:sz w:val="22"/>
        </w:rPr>
      </w:pPr>
      <w:r w:rsidRPr="007B70D0">
        <w:rPr>
          <w:sz w:val="22"/>
        </w:rPr>
        <w:t>-30-</w:t>
      </w:r>
    </w:p>
    <w:p w14:paraId="057C104B" w14:textId="77777777" w:rsidR="002A3693" w:rsidRPr="007B70D0" w:rsidRDefault="002A3693" w:rsidP="00EF68DD">
      <w:pPr>
        <w:tabs>
          <w:tab w:val="left" w:pos="1680"/>
        </w:tabs>
        <w:rPr>
          <w:sz w:val="22"/>
        </w:rPr>
      </w:pPr>
    </w:p>
    <w:sectPr w:rsidR="002A3693" w:rsidRPr="007B70D0" w:rsidSect="00EF68DD">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119BB"/>
    <w:multiLevelType w:val="multilevel"/>
    <w:tmpl w:val="C7D28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DD"/>
    <w:rsid w:val="00195D09"/>
    <w:rsid w:val="00205004"/>
    <w:rsid w:val="00213848"/>
    <w:rsid w:val="002A3693"/>
    <w:rsid w:val="003125BB"/>
    <w:rsid w:val="0042156E"/>
    <w:rsid w:val="00454A8F"/>
    <w:rsid w:val="004B23FA"/>
    <w:rsid w:val="005D28CB"/>
    <w:rsid w:val="00600C22"/>
    <w:rsid w:val="00764960"/>
    <w:rsid w:val="007B70D0"/>
    <w:rsid w:val="007E2D2F"/>
    <w:rsid w:val="008E5119"/>
    <w:rsid w:val="00912155"/>
    <w:rsid w:val="00BB0EAE"/>
    <w:rsid w:val="00BB1E0C"/>
    <w:rsid w:val="00C27A62"/>
    <w:rsid w:val="00C30D4A"/>
    <w:rsid w:val="00CB441E"/>
    <w:rsid w:val="00D2538E"/>
    <w:rsid w:val="00E366FF"/>
    <w:rsid w:val="00E96D14"/>
    <w:rsid w:val="00EC7391"/>
    <w:rsid w:val="00E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FFC3"/>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iPriority w:val="99"/>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 w:type="paragraph" w:customStyle="1" w:styleId="263A">
    <w:name w:val="263A"/>
    <w:basedOn w:val="Normal"/>
    <w:rsid w:val="007B70D0"/>
    <w:pPr>
      <w:autoSpaceDE w:val="0"/>
      <w:autoSpaceDN w:val="0"/>
    </w:pPr>
    <w:rPr>
      <w:szCs w:val="24"/>
    </w:rPr>
  </w:style>
  <w:style w:type="character" w:customStyle="1" w:styleId="UnresolvedMention">
    <w:name w:val="Unresolved Mention"/>
    <w:basedOn w:val="DefaultParagraphFont"/>
    <w:uiPriority w:val="99"/>
    <w:semiHidden/>
    <w:unhideWhenUsed/>
    <w:rsid w:val="00EC7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 w:id="1523857421">
      <w:bodyDiv w:val="1"/>
      <w:marLeft w:val="0"/>
      <w:marRight w:val="0"/>
      <w:marTop w:val="0"/>
      <w:marBottom w:val="0"/>
      <w:divBdr>
        <w:top w:val="none" w:sz="0" w:space="0" w:color="auto"/>
        <w:left w:val="none" w:sz="0" w:space="0" w:color="auto"/>
        <w:bottom w:val="none" w:sz="0" w:space="0" w:color="auto"/>
        <w:right w:val="none" w:sz="0" w:space="0" w:color="auto"/>
      </w:divBdr>
    </w:div>
    <w:div w:id="1593781561">
      <w:bodyDiv w:val="1"/>
      <w:marLeft w:val="0"/>
      <w:marRight w:val="0"/>
      <w:marTop w:val="0"/>
      <w:marBottom w:val="0"/>
      <w:divBdr>
        <w:top w:val="none" w:sz="0" w:space="0" w:color="auto"/>
        <w:left w:val="none" w:sz="0" w:space="0" w:color="auto"/>
        <w:bottom w:val="none" w:sz="0" w:space="0" w:color="auto"/>
        <w:right w:val="none" w:sz="0" w:space="0" w:color="auto"/>
      </w:divBdr>
    </w:div>
    <w:div w:id="17720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covid-19-related-tax-credits-for-required-paid-leave-provided-by-small-and-midsize-businesses-faqs" TargetMode="External"/><Relationship Id="rId3" Type="http://schemas.openxmlformats.org/officeDocument/2006/relationships/settings" Target="settings.xml"/><Relationship Id="rId7" Type="http://schemas.openxmlformats.org/officeDocument/2006/relationships/hyperlink" Target="https://www.irs.gov/newsroom/faqs-employee-retention-credit-under-the-cares-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orm72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Mary Ellen</cp:lastModifiedBy>
  <cp:revision>2</cp:revision>
  <dcterms:created xsi:type="dcterms:W3CDTF">2020-04-01T18:48:00Z</dcterms:created>
  <dcterms:modified xsi:type="dcterms:W3CDTF">2020-04-01T18:48:00Z</dcterms:modified>
</cp:coreProperties>
</file>